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765"/>
        <w:gridCol w:w="1379"/>
        <w:gridCol w:w="964"/>
        <w:gridCol w:w="2222"/>
        <w:gridCol w:w="968"/>
        <w:gridCol w:w="968"/>
        <w:gridCol w:w="1018"/>
      </w:tblGrid>
      <w:tr w:rsidR="0050434C" w:rsidRPr="0050434C" w:rsidTr="0050434C">
        <w:trPr>
          <w:trHeight w:hRule="exact" w:val="879"/>
          <w:jc w:val="center"/>
        </w:trPr>
        <w:tc>
          <w:tcPr>
            <w:tcW w:w="251" w:type="pct"/>
            <w:shd w:val="clear" w:color="auto" w:fill="auto"/>
            <w:vAlign w:val="center"/>
          </w:tcPr>
          <w:p w:rsidR="0050434C" w:rsidRPr="0050434C" w:rsidRDefault="0050434C" w:rsidP="00CC40E3">
            <w:pPr>
              <w:widowControl/>
              <w:adjustRightInd w:val="0"/>
              <w:snapToGrid w:val="0"/>
              <w:ind w:leftChars="-50" w:left="-105" w:rightChars="-50" w:right="-105"/>
              <w:jc w:val="center"/>
              <w:rPr>
                <w:rFonts w:ascii="宋体" w:hAnsi="宋体"/>
                <w:b/>
                <w:color w:val="000000"/>
                <w:kern w:val="0"/>
                <w:sz w:val="22"/>
                <w:szCs w:val="22"/>
              </w:rPr>
            </w:pPr>
            <w:bookmarkStart w:id="0" w:name="OLE_LINK7"/>
            <w:r w:rsidRPr="0050434C">
              <w:rPr>
                <w:rFonts w:ascii="宋体" w:hAnsi="宋体" w:hint="eastAsia"/>
                <w:b/>
                <w:color w:val="000000"/>
                <w:kern w:val="0"/>
                <w:sz w:val="22"/>
                <w:szCs w:val="22"/>
              </w:rPr>
              <w:t>序号</w:t>
            </w:r>
          </w:p>
        </w:tc>
        <w:tc>
          <w:tcPr>
            <w:tcW w:w="1277" w:type="pct"/>
            <w:shd w:val="clear" w:color="auto" w:fill="auto"/>
            <w:vAlign w:val="center"/>
          </w:tcPr>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项目名称</w:t>
            </w:r>
          </w:p>
        </w:tc>
        <w:tc>
          <w:tcPr>
            <w:tcW w:w="637" w:type="pct"/>
            <w:shd w:val="clear" w:color="auto" w:fill="auto"/>
            <w:vAlign w:val="center"/>
          </w:tcPr>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编号</w:t>
            </w:r>
          </w:p>
        </w:tc>
        <w:tc>
          <w:tcPr>
            <w:tcW w:w="445" w:type="pct"/>
            <w:shd w:val="clear" w:color="auto" w:fill="auto"/>
            <w:vAlign w:val="center"/>
          </w:tcPr>
          <w:p w:rsidR="0050434C" w:rsidRPr="0050434C" w:rsidRDefault="0050434C" w:rsidP="00CC40E3">
            <w:pPr>
              <w:widowControl/>
              <w:adjustRightInd w:val="0"/>
              <w:snapToGrid w:val="0"/>
              <w:ind w:leftChars="-50" w:left="-105" w:rightChars="-50" w:right="-105"/>
              <w:jc w:val="center"/>
              <w:rPr>
                <w:rFonts w:ascii="宋体" w:hAnsi="宋体"/>
                <w:b/>
                <w:color w:val="000000"/>
                <w:kern w:val="0"/>
                <w:sz w:val="22"/>
                <w:szCs w:val="22"/>
              </w:rPr>
            </w:pPr>
            <w:r w:rsidRPr="0050434C">
              <w:rPr>
                <w:rFonts w:ascii="宋体" w:hAnsi="宋体" w:hint="eastAsia"/>
                <w:b/>
                <w:color w:val="000000"/>
                <w:kern w:val="0"/>
                <w:sz w:val="22"/>
                <w:szCs w:val="22"/>
              </w:rPr>
              <w:t>负责人</w:t>
            </w:r>
          </w:p>
        </w:tc>
        <w:tc>
          <w:tcPr>
            <w:tcW w:w="1026" w:type="pct"/>
            <w:shd w:val="clear" w:color="auto" w:fill="auto"/>
            <w:vAlign w:val="center"/>
          </w:tcPr>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类别</w:t>
            </w:r>
          </w:p>
        </w:tc>
        <w:tc>
          <w:tcPr>
            <w:tcW w:w="447" w:type="pct"/>
            <w:shd w:val="clear" w:color="auto" w:fill="auto"/>
            <w:vAlign w:val="center"/>
          </w:tcPr>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起始</w:t>
            </w:r>
          </w:p>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日期</w:t>
            </w:r>
          </w:p>
        </w:tc>
        <w:tc>
          <w:tcPr>
            <w:tcW w:w="447" w:type="pct"/>
            <w:shd w:val="clear" w:color="auto" w:fill="auto"/>
            <w:vAlign w:val="center"/>
          </w:tcPr>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完成</w:t>
            </w:r>
          </w:p>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日期</w:t>
            </w:r>
          </w:p>
        </w:tc>
        <w:tc>
          <w:tcPr>
            <w:tcW w:w="470" w:type="pct"/>
            <w:shd w:val="clear" w:color="auto" w:fill="auto"/>
            <w:vAlign w:val="center"/>
          </w:tcPr>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合同</w:t>
            </w:r>
          </w:p>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经费</w:t>
            </w:r>
          </w:p>
        </w:tc>
      </w:tr>
      <w:tr w:rsidR="0050434C" w:rsidRPr="0050434C" w:rsidTr="0050434C">
        <w:trPr>
          <w:trHeight w:hRule="exact" w:val="707"/>
          <w:jc w:val="center"/>
        </w:trPr>
        <w:tc>
          <w:tcPr>
            <w:tcW w:w="5000" w:type="pct"/>
            <w:gridSpan w:val="8"/>
            <w:shd w:val="clear" w:color="auto" w:fill="auto"/>
            <w:vAlign w:val="center"/>
          </w:tcPr>
          <w:p w:rsidR="0050434C" w:rsidRPr="0050434C" w:rsidRDefault="0050434C" w:rsidP="00CC40E3">
            <w:pPr>
              <w:widowControl/>
              <w:adjustRightInd w:val="0"/>
              <w:snapToGrid w:val="0"/>
              <w:jc w:val="center"/>
              <w:rPr>
                <w:rFonts w:ascii="宋体" w:hAnsi="宋体"/>
                <w:b/>
                <w:color w:val="000000"/>
                <w:kern w:val="0"/>
                <w:sz w:val="22"/>
                <w:szCs w:val="22"/>
              </w:rPr>
            </w:pPr>
            <w:r w:rsidRPr="0050434C">
              <w:rPr>
                <w:rFonts w:ascii="宋体" w:hAnsi="宋体" w:hint="eastAsia"/>
                <w:b/>
                <w:color w:val="000000"/>
                <w:kern w:val="0"/>
                <w:sz w:val="22"/>
                <w:szCs w:val="22"/>
              </w:rPr>
              <w:t>国家自然科学基金</w:t>
            </w:r>
          </w:p>
        </w:tc>
      </w:tr>
      <w:tr w:rsidR="0050434C" w:rsidRPr="0050434C" w:rsidTr="0050434C">
        <w:trPr>
          <w:trHeight w:hRule="exact" w:val="84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1</w:t>
            </w:r>
          </w:p>
        </w:tc>
        <w:tc>
          <w:tcPr>
            <w:tcW w:w="127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无机纳米生物材料</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kern w:val="0"/>
                <w:sz w:val="22"/>
                <w:szCs w:val="22"/>
              </w:rPr>
            </w:pPr>
            <w:r w:rsidRPr="0050434C">
              <w:rPr>
                <w:rFonts w:ascii="宋体" w:hAnsi="宋体" w:hint="eastAsia"/>
                <w:kern w:val="0"/>
                <w:sz w:val="22"/>
                <w:szCs w:val="22"/>
              </w:rPr>
              <w:t>D100-4-1678</w:t>
            </w:r>
          </w:p>
        </w:tc>
        <w:tc>
          <w:tcPr>
            <w:tcW w:w="445"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刘昌胜</w:t>
            </w:r>
          </w:p>
        </w:tc>
        <w:tc>
          <w:tcPr>
            <w:tcW w:w="1026"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国家自然科学基金委创新群体</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2017-01-01</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2022-12-31</w:t>
            </w:r>
          </w:p>
        </w:tc>
        <w:tc>
          <w:tcPr>
            <w:tcW w:w="470"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1050.0</w:t>
            </w:r>
          </w:p>
        </w:tc>
      </w:tr>
      <w:tr w:rsidR="0050434C" w:rsidRPr="0050434C" w:rsidTr="0050434C">
        <w:trPr>
          <w:trHeight w:hRule="exact" w:val="856"/>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2</w:t>
            </w:r>
          </w:p>
        </w:tc>
        <w:tc>
          <w:tcPr>
            <w:tcW w:w="127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高分子结构与性能</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kern w:val="0"/>
                <w:sz w:val="22"/>
                <w:szCs w:val="22"/>
              </w:rPr>
            </w:pPr>
            <w:r w:rsidRPr="0050434C">
              <w:rPr>
                <w:rFonts w:ascii="宋体" w:hAnsi="宋体"/>
                <w:kern w:val="0"/>
                <w:sz w:val="22"/>
                <w:szCs w:val="22"/>
              </w:rPr>
              <w:t>D100-4-1679</w:t>
            </w:r>
          </w:p>
        </w:tc>
        <w:tc>
          <w:tcPr>
            <w:tcW w:w="445"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林绍梁</w:t>
            </w:r>
          </w:p>
        </w:tc>
        <w:tc>
          <w:tcPr>
            <w:tcW w:w="1026"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国家自然科学基金委</w:t>
            </w:r>
          </w:p>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优秀青年基金</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2017-01-01</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2019-12-31</w:t>
            </w:r>
          </w:p>
        </w:tc>
        <w:tc>
          <w:tcPr>
            <w:tcW w:w="470"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kern w:val="0"/>
                <w:sz w:val="22"/>
                <w:szCs w:val="22"/>
              </w:rPr>
              <w:t>130.0</w:t>
            </w:r>
          </w:p>
        </w:tc>
      </w:tr>
      <w:tr w:rsidR="0050434C" w:rsidRPr="0050434C" w:rsidTr="0050434C">
        <w:trPr>
          <w:trHeight w:hRule="exact" w:val="996"/>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3</w:t>
            </w:r>
          </w:p>
        </w:tc>
        <w:tc>
          <w:tcPr>
            <w:tcW w:w="127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以酰胺键的变化为生物可降解聚合物植入多重温敏相转变</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kern w:val="0"/>
                <w:sz w:val="22"/>
                <w:szCs w:val="22"/>
              </w:rPr>
            </w:pPr>
            <w:r w:rsidRPr="0050434C">
              <w:rPr>
                <w:rFonts w:ascii="宋体" w:hAnsi="宋体"/>
                <w:kern w:val="0"/>
                <w:sz w:val="22"/>
                <w:szCs w:val="22"/>
              </w:rPr>
              <w:t>D100-4-1639</w:t>
            </w:r>
          </w:p>
        </w:tc>
        <w:tc>
          <w:tcPr>
            <w:tcW w:w="445"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肖</w:t>
            </w:r>
            <w:r w:rsidRPr="0050434C">
              <w:rPr>
                <w:rFonts w:ascii="宋体" w:hAnsi="宋体" w:hint="eastAsia"/>
                <w:kern w:val="0"/>
                <w:sz w:val="22"/>
                <w:szCs w:val="22"/>
              </w:rPr>
              <w:t xml:space="preserve">  </w:t>
            </w:r>
            <w:r w:rsidRPr="0050434C">
              <w:rPr>
                <w:rFonts w:ascii="宋体" w:hAnsi="宋体"/>
                <w:kern w:val="0"/>
                <w:sz w:val="22"/>
                <w:szCs w:val="22"/>
              </w:rPr>
              <w:t>艳</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国家自然科学基金</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2017-01-01</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2020-12-31</w:t>
            </w:r>
          </w:p>
        </w:tc>
        <w:tc>
          <w:tcPr>
            <w:tcW w:w="470" w:type="pct"/>
            <w:shd w:val="clear" w:color="auto" w:fill="auto"/>
            <w:vAlign w:val="center"/>
          </w:tcPr>
          <w:p w:rsidR="0050434C" w:rsidRPr="0050434C" w:rsidRDefault="0050434C" w:rsidP="00CC40E3">
            <w:pPr>
              <w:widowControl/>
              <w:jc w:val="center"/>
              <w:rPr>
                <w:rFonts w:ascii="宋体" w:hAnsi="宋体"/>
                <w:kern w:val="0"/>
                <w:sz w:val="22"/>
                <w:szCs w:val="22"/>
              </w:rPr>
            </w:pPr>
            <w:r w:rsidRPr="0050434C">
              <w:rPr>
                <w:rFonts w:ascii="宋体" w:hAnsi="宋体"/>
                <w:kern w:val="0"/>
                <w:sz w:val="22"/>
                <w:szCs w:val="22"/>
              </w:rPr>
              <w:t>65.0</w:t>
            </w:r>
          </w:p>
        </w:tc>
      </w:tr>
      <w:tr w:rsidR="0050434C" w:rsidRPr="0050434C" w:rsidTr="0050434C">
        <w:trPr>
          <w:trHeight w:hRule="exact" w:val="840"/>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4</w:t>
            </w:r>
          </w:p>
        </w:tc>
        <w:tc>
          <w:tcPr>
            <w:tcW w:w="1277" w:type="pct"/>
            <w:shd w:val="clear" w:color="auto" w:fill="auto"/>
            <w:vAlign w:val="center"/>
          </w:tcPr>
          <w:p w:rsidR="0050434C" w:rsidRPr="0050434C" w:rsidRDefault="0050434C" w:rsidP="00CC40E3">
            <w:pPr>
              <w:ind w:leftChars="-50" w:left="-105" w:rightChars="-50" w:right="-105"/>
              <w:jc w:val="center"/>
              <w:rPr>
                <w:rFonts w:ascii="宋体" w:hAnsi="宋体"/>
                <w:color w:val="000000"/>
                <w:sz w:val="22"/>
                <w:szCs w:val="22"/>
              </w:rPr>
            </w:pPr>
            <w:r w:rsidRPr="0050434C">
              <w:rPr>
                <w:rFonts w:ascii="宋体" w:hAnsi="宋体" w:hint="eastAsia"/>
                <w:color w:val="000000"/>
                <w:sz w:val="22"/>
                <w:szCs w:val="22"/>
              </w:rPr>
              <w:t>限域纳米反应器内共轭聚合物纳米粒子的可控合成研究</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olor w:val="000000"/>
                <w:sz w:val="22"/>
                <w:szCs w:val="22"/>
              </w:rPr>
            </w:pPr>
            <w:r w:rsidRPr="0050434C">
              <w:rPr>
                <w:rFonts w:ascii="宋体" w:hAnsi="宋体" w:hint="eastAsia"/>
                <w:color w:val="000000"/>
                <w:sz w:val="22"/>
                <w:szCs w:val="22"/>
              </w:rPr>
              <w:t>D100-4-1637</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胡爱国</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国家自然科学基金</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2017-01-01</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2020-12-31</w:t>
            </w:r>
          </w:p>
        </w:tc>
        <w:tc>
          <w:tcPr>
            <w:tcW w:w="470"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65.0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5</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金属卟啉杂化多孔碳纳米纸的可控制备及电催化还原CO</w:t>
            </w:r>
            <w:r w:rsidRPr="0050434C">
              <w:rPr>
                <w:rFonts w:ascii="宋体" w:hAnsi="宋体" w:hint="eastAsia"/>
                <w:color w:val="000000"/>
                <w:sz w:val="22"/>
                <w:szCs w:val="22"/>
                <w:vertAlign w:val="subscript"/>
              </w:rPr>
              <w:t>2</w:t>
            </w:r>
            <w:r w:rsidRPr="0050434C">
              <w:rPr>
                <w:rFonts w:ascii="宋体" w:hAnsi="宋体" w:hint="eastAsia"/>
                <w:color w:val="000000"/>
                <w:sz w:val="22"/>
                <w:szCs w:val="22"/>
              </w:rPr>
              <w:t>性能</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olor w:val="000000"/>
                <w:sz w:val="22"/>
                <w:szCs w:val="22"/>
              </w:rPr>
            </w:pPr>
            <w:r w:rsidRPr="0050434C">
              <w:rPr>
                <w:rFonts w:ascii="宋体" w:hAnsi="宋体" w:hint="eastAsia"/>
                <w:color w:val="000000"/>
                <w:sz w:val="22"/>
                <w:szCs w:val="22"/>
              </w:rPr>
              <w:t>D100-4-1654</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朱以华</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国家自然科学基金</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2017-01-01</w:t>
            </w:r>
          </w:p>
        </w:tc>
        <w:tc>
          <w:tcPr>
            <w:tcW w:w="447"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color w:val="000000"/>
                <w:sz w:val="22"/>
                <w:szCs w:val="22"/>
              </w:rPr>
              <w:t>2020-12-31</w:t>
            </w:r>
          </w:p>
        </w:tc>
        <w:tc>
          <w:tcPr>
            <w:tcW w:w="470"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64.0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6</w:t>
            </w:r>
          </w:p>
        </w:tc>
        <w:tc>
          <w:tcPr>
            <w:tcW w:w="127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高回弹高粘性准固态聚合物电解质的制备及其柔性储能器件的构建</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kern w:val="0"/>
                <w:sz w:val="22"/>
                <w:szCs w:val="22"/>
              </w:rPr>
            </w:pPr>
            <w:r w:rsidRPr="0050434C">
              <w:rPr>
                <w:rFonts w:ascii="宋体" w:hAnsi="宋体"/>
                <w:kern w:val="0"/>
                <w:sz w:val="22"/>
                <w:szCs w:val="22"/>
              </w:rPr>
              <w:t>D100-4-1683</w:t>
            </w:r>
          </w:p>
        </w:tc>
        <w:tc>
          <w:tcPr>
            <w:tcW w:w="445"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王庚超</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国家自然科学基金</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2017-01-01</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2020-12-31</w:t>
            </w:r>
          </w:p>
        </w:tc>
        <w:tc>
          <w:tcPr>
            <w:tcW w:w="470"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62.0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7</w:t>
            </w:r>
          </w:p>
        </w:tc>
        <w:tc>
          <w:tcPr>
            <w:tcW w:w="127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color w:val="000000"/>
                <w:sz w:val="22"/>
                <w:szCs w:val="22"/>
              </w:rPr>
              <w:t>有序大孔金属硫化物/碳嵌入式结构柔性电极及其储锂性能</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kern w:val="0"/>
                <w:sz w:val="22"/>
                <w:szCs w:val="22"/>
              </w:rPr>
            </w:pPr>
            <w:r w:rsidRPr="0050434C">
              <w:rPr>
                <w:rFonts w:ascii="宋体" w:hAnsi="宋体" w:hint="eastAsia"/>
                <w:color w:val="000000"/>
                <w:sz w:val="22"/>
                <w:szCs w:val="22"/>
              </w:rPr>
              <w:t>D100-4-1680</w:t>
            </w:r>
          </w:p>
        </w:tc>
        <w:tc>
          <w:tcPr>
            <w:tcW w:w="445"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color w:val="000000"/>
                <w:sz w:val="22"/>
                <w:szCs w:val="22"/>
              </w:rPr>
              <w:t>江  浩</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kern w:val="0"/>
                <w:sz w:val="22"/>
                <w:szCs w:val="22"/>
              </w:rPr>
            </w:pPr>
            <w:r w:rsidRPr="0050434C">
              <w:rPr>
                <w:rFonts w:ascii="宋体" w:hAnsi="宋体" w:hint="eastAsia"/>
                <w:color w:val="000000"/>
                <w:sz w:val="22"/>
                <w:szCs w:val="22"/>
              </w:rPr>
              <w:t>国家自然科学基金</w:t>
            </w:r>
          </w:p>
        </w:tc>
        <w:tc>
          <w:tcPr>
            <w:tcW w:w="447" w:type="pct"/>
            <w:shd w:val="clear" w:color="auto" w:fill="auto"/>
            <w:vAlign w:val="center"/>
          </w:tcPr>
          <w:p w:rsidR="0050434C" w:rsidRPr="0050434C" w:rsidRDefault="0050434C" w:rsidP="00CC40E3">
            <w:pPr>
              <w:widowControl/>
              <w:jc w:val="center"/>
              <w:rPr>
                <w:rFonts w:ascii="宋体" w:hAnsi="宋体"/>
                <w:kern w:val="0"/>
                <w:sz w:val="22"/>
                <w:szCs w:val="22"/>
              </w:rPr>
            </w:pPr>
            <w:r w:rsidRPr="0050434C">
              <w:rPr>
                <w:rFonts w:ascii="宋体" w:hAnsi="宋体" w:hint="eastAsia"/>
                <w:color w:val="000000"/>
                <w:sz w:val="22"/>
                <w:szCs w:val="22"/>
              </w:rPr>
              <w:t>2017-01-01</w:t>
            </w:r>
          </w:p>
        </w:tc>
        <w:tc>
          <w:tcPr>
            <w:tcW w:w="447" w:type="pct"/>
            <w:shd w:val="clear" w:color="auto" w:fill="auto"/>
            <w:vAlign w:val="center"/>
          </w:tcPr>
          <w:p w:rsidR="0050434C" w:rsidRPr="0050434C" w:rsidRDefault="0050434C" w:rsidP="00CC40E3">
            <w:pPr>
              <w:widowControl/>
              <w:jc w:val="center"/>
              <w:rPr>
                <w:rFonts w:ascii="宋体" w:hAnsi="宋体"/>
                <w:kern w:val="0"/>
                <w:sz w:val="22"/>
                <w:szCs w:val="22"/>
              </w:rPr>
            </w:pPr>
            <w:r w:rsidRPr="0050434C">
              <w:rPr>
                <w:rFonts w:ascii="宋体" w:hAnsi="宋体" w:hint="eastAsia"/>
                <w:color w:val="000000"/>
                <w:sz w:val="22"/>
                <w:szCs w:val="22"/>
              </w:rPr>
              <w:t>2020-12-31</w:t>
            </w:r>
          </w:p>
        </w:tc>
        <w:tc>
          <w:tcPr>
            <w:tcW w:w="470" w:type="pct"/>
            <w:shd w:val="clear" w:color="auto" w:fill="auto"/>
            <w:vAlign w:val="center"/>
          </w:tcPr>
          <w:p w:rsidR="0050434C" w:rsidRPr="0050434C" w:rsidRDefault="0050434C" w:rsidP="00CC40E3">
            <w:pPr>
              <w:widowControl/>
              <w:jc w:val="center"/>
              <w:rPr>
                <w:rFonts w:ascii="宋体" w:hAnsi="宋体"/>
                <w:kern w:val="0"/>
                <w:sz w:val="22"/>
                <w:szCs w:val="22"/>
              </w:rPr>
            </w:pPr>
            <w:r w:rsidRPr="0050434C">
              <w:rPr>
                <w:rFonts w:ascii="宋体" w:hAnsi="宋体" w:hint="eastAsia"/>
                <w:color w:val="000000"/>
                <w:sz w:val="22"/>
                <w:szCs w:val="22"/>
              </w:rPr>
              <w:t>62.0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8</w:t>
            </w:r>
          </w:p>
        </w:tc>
        <w:tc>
          <w:tcPr>
            <w:tcW w:w="127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color w:val="000000"/>
                <w:sz w:val="22"/>
                <w:szCs w:val="22"/>
              </w:rPr>
              <w:t>三维有序大孔径介孔SiOx/C复合微球的可控制备及其锂电池性能</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kern w:val="0"/>
                <w:sz w:val="22"/>
                <w:szCs w:val="22"/>
              </w:rPr>
            </w:pPr>
            <w:r w:rsidRPr="0050434C">
              <w:rPr>
                <w:rFonts w:ascii="宋体" w:hAnsi="宋体" w:hint="eastAsia"/>
                <w:color w:val="000000"/>
                <w:sz w:val="22"/>
                <w:szCs w:val="22"/>
              </w:rPr>
              <w:t>D100-4-1681</w:t>
            </w:r>
          </w:p>
        </w:tc>
        <w:tc>
          <w:tcPr>
            <w:tcW w:w="445"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hint="eastAsia"/>
                <w:color w:val="000000"/>
                <w:sz w:val="22"/>
                <w:szCs w:val="22"/>
              </w:rPr>
              <w:t>李永生</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kern w:val="0"/>
                <w:sz w:val="22"/>
                <w:szCs w:val="22"/>
              </w:rPr>
            </w:pPr>
            <w:r w:rsidRPr="0050434C">
              <w:rPr>
                <w:rFonts w:ascii="宋体" w:hAnsi="宋体" w:hint="eastAsia"/>
                <w:color w:val="000000"/>
                <w:sz w:val="22"/>
                <w:szCs w:val="22"/>
              </w:rPr>
              <w:t>国家自然科学基金</w:t>
            </w:r>
          </w:p>
        </w:tc>
        <w:tc>
          <w:tcPr>
            <w:tcW w:w="447" w:type="pct"/>
            <w:shd w:val="clear" w:color="auto" w:fill="auto"/>
            <w:vAlign w:val="center"/>
          </w:tcPr>
          <w:p w:rsidR="0050434C" w:rsidRPr="0050434C" w:rsidRDefault="0050434C" w:rsidP="00CC40E3">
            <w:pPr>
              <w:widowControl/>
              <w:jc w:val="center"/>
              <w:rPr>
                <w:rFonts w:ascii="宋体" w:hAnsi="宋体"/>
                <w:kern w:val="0"/>
                <w:sz w:val="22"/>
                <w:szCs w:val="22"/>
              </w:rPr>
            </w:pPr>
            <w:r w:rsidRPr="0050434C">
              <w:rPr>
                <w:rFonts w:ascii="宋体" w:hAnsi="宋体" w:hint="eastAsia"/>
                <w:color w:val="000000"/>
                <w:sz w:val="22"/>
                <w:szCs w:val="22"/>
              </w:rPr>
              <w:t>2017-01-01</w:t>
            </w:r>
          </w:p>
        </w:tc>
        <w:tc>
          <w:tcPr>
            <w:tcW w:w="447" w:type="pct"/>
            <w:shd w:val="clear" w:color="auto" w:fill="auto"/>
            <w:vAlign w:val="center"/>
          </w:tcPr>
          <w:p w:rsidR="0050434C" w:rsidRPr="0050434C" w:rsidRDefault="0050434C" w:rsidP="00CC40E3">
            <w:pPr>
              <w:widowControl/>
              <w:jc w:val="center"/>
              <w:rPr>
                <w:rFonts w:ascii="宋体" w:hAnsi="宋体"/>
                <w:kern w:val="0"/>
                <w:sz w:val="22"/>
                <w:szCs w:val="22"/>
              </w:rPr>
            </w:pPr>
            <w:r w:rsidRPr="0050434C">
              <w:rPr>
                <w:rFonts w:ascii="宋体" w:hAnsi="宋体" w:hint="eastAsia"/>
                <w:color w:val="000000"/>
                <w:sz w:val="22"/>
                <w:szCs w:val="22"/>
              </w:rPr>
              <w:t>2020-12-31</w:t>
            </w:r>
          </w:p>
        </w:tc>
        <w:tc>
          <w:tcPr>
            <w:tcW w:w="470" w:type="pct"/>
            <w:shd w:val="clear" w:color="auto" w:fill="auto"/>
            <w:vAlign w:val="center"/>
          </w:tcPr>
          <w:p w:rsidR="0050434C" w:rsidRPr="0050434C" w:rsidRDefault="0050434C" w:rsidP="00CC40E3">
            <w:pPr>
              <w:widowControl/>
              <w:jc w:val="center"/>
              <w:rPr>
                <w:rFonts w:ascii="宋体" w:hAnsi="宋体"/>
                <w:kern w:val="0"/>
                <w:sz w:val="22"/>
                <w:szCs w:val="22"/>
              </w:rPr>
            </w:pPr>
            <w:r w:rsidRPr="0050434C">
              <w:rPr>
                <w:rFonts w:ascii="宋体" w:hAnsi="宋体" w:hint="eastAsia"/>
                <w:color w:val="000000"/>
                <w:sz w:val="22"/>
                <w:szCs w:val="22"/>
              </w:rPr>
              <w:t>62.0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9</w:t>
            </w:r>
          </w:p>
        </w:tc>
        <w:tc>
          <w:tcPr>
            <w:tcW w:w="127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基于超长弹性金属纳米线双导电网络结构的透明柔性导电材料</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kern w:val="0"/>
                <w:sz w:val="22"/>
                <w:szCs w:val="22"/>
              </w:rPr>
            </w:pPr>
            <w:r w:rsidRPr="0050434C">
              <w:rPr>
                <w:rFonts w:ascii="宋体" w:hAnsi="宋体"/>
                <w:kern w:val="0"/>
                <w:sz w:val="22"/>
                <w:szCs w:val="22"/>
              </w:rPr>
              <w:t>D100-4-1682</w:t>
            </w:r>
          </w:p>
        </w:tc>
        <w:tc>
          <w:tcPr>
            <w:tcW w:w="445"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张</w:t>
            </w:r>
            <w:r w:rsidRPr="0050434C">
              <w:rPr>
                <w:rFonts w:ascii="宋体" w:hAnsi="宋体" w:hint="eastAsia"/>
                <w:kern w:val="0"/>
                <w:sz w:val="22"/>
                <w:szCs w:val="22"/>
              </w:rPr>
              <w:t xml:space="preserve">  </w:t>
            </w:r>
            <w:r w:rsidRPr="0050434C">
              <w:rPr>
                <w:rFonts w:ascii="宋体" w:hAnsi="宋体"/>
                <w:kern w:val="0"/>
                <w:sz w:val="22"/>
                <w:szCs w:val="22"/>
              </w:rPr>
              <w:t>玲</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国家自然科学基金</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2017-01-01</w:t>
            </w:r>
          </w:p>
        </w:tc>
        <w:tc>
          <w:tcPr>
            <w:tcW w:w="447"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2020-12-31</w:t>
            </w:r>
          </w:p>
        </w:tc>
        <w:tc>
          <w:tcPr>
            <w:tcW w:w="470" w:type="pct"/>
            <w:shd w:val="clear" w:color="auto" w:fill="auto"/>
            <w:vAlign w:val="center"/>
          </w:tcPr>
          <w:p w:rsidR="0050434C" w:rsidRPr="0050434C" w:rsidRDefault="0050434C" w:rsidP="00CC40E3">
            <w:pPr>
              <w:jc w:val="center"/>
              <w:rPr>
                <w:rFonts w:ascii="宋体" w:hAnsi="宋体"/>
                <w:kern w:val="0"/>
                <w:sz w:val="22"/>
                <w:szCs w:val="22"/>
              </w:rPr>
            </w:pPr>
            <w:r w:rsidRPr="0050434C">
              <w:rPr>
                <w:rFonts w:ascii="宋体" w:hAnsi="宋体"/>
                <w:kern w:val="0"/>
                <w:sz w:val="22"/>
                <w:szCs w:val="22"/>
              </w:rPr>
              <w:t>61.0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10</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基于核磁共振检测方法的光催化制氢模型体系中含氢化合物轨迹追踪及作用机制研究</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kern w:val="0"/>
                <w:sz w:val="22"/>
                <w:szCs w:val="22"/>
              </w:rPr>
              <w:t>D100-4-1617</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王雪璐</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国家自然科学基金</w:t>
            </w:r>
          </w:p>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青年基金</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2017-01-01</w:t>
            </w:r>
          </w:p>
        </w:tc>
        <w:tc>
          <w:tcPr>
            <w:tcW w:w="447"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kern w:val="0"/>
                <w:sz w:val="22"/>
                <w:szCs w:val="22"/>
              </w:rPr>
              <w:t>2019-12-31</w:t>
            </w:r>
          </w:p>
        </w:tc>
        <w:tc>
          <w:tcPr>
            <w:tcW w:w="470"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20.0</w:t>
            </w:r>
          </w:p>
        </w:tc>
      </w:tr>
      <w:tr w:rsidR="0050434C" w:rsidRPr="0050434C" w:rsidTr="0050434C">
        <w:trPr>
          <w:trHeight w:hRule="exact" w:val="87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kern w:val="0"/>
                <w:sz w:val="22"/>
                <w:szCs w:val="22"/>
              </w:rPr>
              <w:t>11</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钙钛矿型薄膜太阳电池活性层材料的设计与制备</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kern w:val="0"/>
                <w:sz w:val="22"/>
                <w:szCs w:val="22"/>
              </w:rPr>
              <w:t>D100-4-1672</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侯</w:t>
            </w:r>
            <w:r w:rsidRPr="0050434C">
              <w:rPr>
                <w:rFonts w:ascii="宋体" w:hAnsi="宋体" w:hint="eastAsia"/>
                <w:kern w:val="0"/>
                <w:sz w:val="22"/>
                <w:szCs w:val="22"/>
              </w:rPr>
              <w:t xml:space="preserve">  </w:t>
            </w:r>
            <w:r w:rsidRPr="0050434C">
              <w:rPr>
                <w:rFonts w:ascii="宋体" w:hAnsi="宋体"/>
                <w:kern w:val="0"/>
                <w:sz w:val="22"/>
                <w:szCs w:val="22"/>
              </w:rPr>
              <w:t>宇</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国家自然科学基金</w:t>
            </w:r>
          </w:p>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青年基金</w:t>
            </w:r>
          </w:p>
        </w:tc>
        <w:tc>
          <w:tcPr>
            <w:tcW w:w="447" w:type="pct"/>
            <w:shd w:val="clear" w:color="auto" w:fill="auto"/>
            <w:vAlign w:val="center"/>
          </w:tcPr>
          <w:p w:rsidR="0050434C" w:rsidRPr="0050434C" w:rsidRDefault="0050434C" w:rsidP="00CC40E3">
            <w:pPr>
              <w:widowControl/>
              <w:jc w:val="center"/>
              <w:rPr>
                <w:rFonts w:ascii="宋体" w:hAnsi="宋体" w:cs="宋体"/>
                <w:b/>
                <w:color w:val="000000"/>
                <w:kern w:val="0"/>
                <w:sz w:val="22"/>
                <w:szCs w:val="22"/>
                <w:lang w:val="fr-FR" w:eastAsia="fr-FR"/>
              </w:rPr>
            </w:pPr>
            <w:r w:rsidRPr="0050434C">
              <w:rPr>
                <w:rFonts w:ascii="宋体" w:hAnsi="宋体"/>
                <w:kern w:val="0"/>
                <w:sz w:val="22"/>
                <w:szCs w:val="22"/>
              </w:rPr>
              <w:t>2017-01-01</w:t>
            </w:r>
          </w:p>
        </w:tc>
        <w:tc>
          <w:tcPr>
            <w:tcW w:w="447" w:type="pct"/>
            <w:shd w:val="clear" w:color="auto" w:fill="auto"/>
            <w:vAlign w:val="center"/>
          </w:tcPr>
          <w:p w:rsidR="0050434C" w:rsidRPr="0050434C" w:rsidRDefault="0050434C" w:rsidP="00CC40E3">
            <w:pPr>
              <w:widowControl/>
              <w:jc w:val="center"/>
              <w:rPr>
                <w:rFonts w:ascii="宋体" w:hAnsi="宋体" w:cs="宋体"/>
                <w:b/>
                <w:color w:val="000000"/>
                <w:kern w:val="0"/>
                <w:sz w:val="22"/>
                <w:szCs w:val="22"/>
                <w:lang w:val="fr-FR" w:eastAsia="fr-FR"/>
              </w:rPr>
            </w:pPr>
            <w:r w:rsidRPr="0050434C">
              <w:rPr>
                <w:rFonts w:ascii="宋体" w:hAnsi="宋体"/>
                <w:kern w:val="0"/>
                <w:sz w:val="22"/>
                <w:szCs w:val="22"/>
              </w:rPr>
              <w:t>2019-12-31</w:t>
            </w:r>
          </w:p>
        </w:tc>
        <w:tc>
          <w:tcPr>
            <w:tcW w:w="470"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kern w:val="0"/>
                <w:sz w:val="22"/>
                <w:szCs w:val="22"/>
              </w:rPr>
              <w:t>20.0</w:t>
            </w:r>
          </w:p>
        </w:tc>
      </w:tr>
      <w:tr w:rsidR="0050434C" w:rsidRPr="0050434C" w:rsidTr="0050434C">
        <w:trPr>
          <w:trHeight w:hRule="exact" w:val="861"/>
          <w:jc w:val="center"/>
        </w:trPr>
        <w:tc>
          <w:tcPr>
            <w:tcW w:w="5000" w:type="pct"/>
            <w:gridSpan w:val="8"/>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b/>
                <w:color w:val="000000"/>
                <w:kern w:val="0"/>
                <w:sz w:val="22"/>
                <w:szCs w:val="22"/>
              </w:rPr>
            </w:pPr>
            <w:r w:rsidRPr="0050434C">
              <w:rPr>
                <w:rFonts w:ascii="宋体" w:hAnsi="宋体" w:hint="eastAsia"/>
                <w:b/>
                <w:color w:val="000000"/>
                <w:kern w:val="0"/>
                <w:sz w:val="22"/>
                <w:szCs w:val="22"/>
              </w:rPr>
              <w:t>军工项目</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1</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军工项目XX</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hint="eastAsia"/>
                <w:color w:val="000000"/>
                <w:sz w:val="22"/>
                <w:szCs w:val="22"/>
              </w:rPr>
              <w:t>D200-JG1607</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邓诗峰</w:t>
            </w:r>
          </w:p>
        </w:tc>
        <w:tc>
          <w:tcPr>
            <w:tcW w:w="1026"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hint="eastAsia"/>
                <w:color w:val="000000"/>
                <w:sz w:val="22"/>
                <w:szCs w:val="22"/>
              </w:rPr>
              <w:t>纵向企业军工委托</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2016-04-26</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104.9</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lastRenderedPageBreak/>
              <w:t>2</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军工项目XX</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hint="eastAsia"/>
                <w:color w:val="000000"/>
                <w:sz w:val="22"/>
                <w:szCs w:val="22"/>
              </w:rPr>
              <w:t>D800-G-35</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刘昌胜</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上海市发改委</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100.0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3</w:t>
            </w:r>
          </w:p>
        </w:tc>
        <w:tc>
          <w:tcPr>
            <w:tcW w:w="1277"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高活性仿生人工骨在战创伤骨缺损中的应用研究</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s="宋体"/>
                <w:sz w:val="22"/>
                <w:szCs w:val="22"/>
              </w:rPr>
            </w:pPr>
            <w:r w:rsidRPr="0050434C">
              <w:rPr>
                <w:rFonts w:ascii="宋体" w:hAnsi="宋体" w:hint="eastAsia"/>
                <w:sz w:val="22"/>
                <w:szCs w:val="22"/>
              </w:rPr>
              <w:t>D800-Z-30</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刘昌胜</w:t>
            </w:r>
          </w:p>
        </w:tc>
        <w:tc>
          <w:tcPr>
            <w:tcW w:w="1026"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解放军第三军医大学</w:t>
            </w:r>
          </w:p>
        </w:tc>
        <w:tc>
          <w:tcPr>
            <w:tcW w:w="447"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2016-02-01</w:t>
            </w:r>
          </w:p>
        </w:tc>
        <w:tc>
          <w:tcPr>
            <w:tcW w:w="447"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2017-07-09</w:t>
            </w:r>
          </w:p>
        </w:tc>
        <w:tc>
          <w:tcPr>
            <w:tcW w:w="470"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40.0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4</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军工项目XX</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hint="eastAsia"/>
                <w:color w:val="000000"/>
                <w:sz w:val="22"/>
                <w:szCs w:val="22"/>
              </w:rPr>
              <w:t>D200-JG1612</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黄发荣</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军工项目</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2016-04-29</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2016-12-30</w:t>
            </w:r>
          </w:p>
        </w:tc>
        <w:tc>
          <w:tcPr>
            <w:tcW w:w="470"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olor w:val="000000"/>
                <w:sz w:val="22"/>
                <w:szCs w:val="22"/>
              </w:rPr>
              <w:t>38</w:t>
            </w:r>
            <w:r w:rsidRPr="0050434C">
              <w:rPr>
                <w:rFonts w:ascii="宋体" w:hAnsi="宋体" w:hint="eastAsia"/>
                <w:color w:val="000000"/>
                <w:sz w:val="22"/>
                <w:szCs w:val="22"/>
              </w:rPr>
              <w:t>.5</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5</w:t>
            </w:r>
          </w:p>
        </w:tc>
        <w:tc>
          <w:tcPr>
            <w:tcW w:w="127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color w:val="000000"/>
                <w:sz w:val="22"/>
                <w:szCs w:val="22"/>
              </w:rPr>
              <w:t>军工项目 D900-Z-39</w:t>
            </w:r>
          </w:p>
        </w:tc>
        <w:tc>
          <w:tcPr>
            <w:tcW w:w="63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color w:val="000000"/>
                <w:sz w:val="22"/>
                <w:szCs w:val="22"/>
              </w:rPr>
              <w:t>D900-Z-39</w:t>
            </w:r>
          </w:p>
        </w:tc>
        <w:tc>
          <w:tcPr>
            <w:tcW w:w="445"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color w:val="000000"/>
                <w:sz w:val="22"/>
                <w:szCs w:val="22"/>
              </w:rPr>
              <w:t>庄启昕</w:t>
            </w:r>
          </w:p>
        </w:tc>
        <w:tc>
          <w:tcPr>
            <w:tcW w:w="1026"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总装备部</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w:t>
            </w:r>
            <w:r w:rsidRPr="0050434C">
              <w:rPr>
                <w:rFonts w:ascii="宋体" w:hAnsi="宋体"/>
                <w:color w:val="000000"/>
                <w:sz w:val="22"/>
                <w:szCs w:val="22"/>
              </w:rPr>
              <w:t>01</w:t>
            </w:r>
            <w:r w:rsidRPr="0050434C">
              <w:rPr>
                <w:rFonts w:ascii="宋体" w:hAnsi="宋体" w:hint="eastAsia"/>
                <w:color w:val="000000"/>
                <w:sz w:val="22"/>
                <w:szCs w:val="22"/>
              </w:rPr>
              <w:t>-</w:t>
            </w:r>
            <w:r w:rsidRPr="0050434C">
              <w:rPr>
                <w:rFonts w:ascii="宋体" w:hAnsi="宋体"/>
                <w:color w:val="000000"/>
                <w:sz w:val="22"/>
                <w:szCs w:val="22"/>
              </w:rPr>
              <w:t>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color w:val="000000"/>
                <w:sz w:val="22"/>
                <w:szCs w:val="22"/>
              </w:rPr>
              <w:t>2017-12-31</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color w:val="000000"/>
                <w:sz w:val="22"/>
                <w:szCs w:val="22"/>
              </w:rPr>
              <w:t>100.0</w:t>
            </w:r>
          </w:p>
        </w:tc>
      </w:tr>
      <w:tr w:rsidR="0050434C" w:rsidRPr="0050434C" w:rsidTr="0050434C">
        <w:trPr>
          <w:trHeight w:hRule="exact" w:val="856"/>
          <w:jc w:val="center"/>
        </w:trPr>
        <w:tc>
          <w:tcPr>
            <w:tcW w:w="5000" w:type="pct"/>
            <w:gridSpan w:val="8"/>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b/>
                <w:color w:val="000000"/>
                <w:kern w:val="0"/>
                <w:sz w:val="22"/>
                <w:szCs w:val="22"/>
              </w:rPr>
            </w:pPr>
            <w:r w:rsidRPr="0050434C">
              <w:rPr>
                <w:rFonts w:ascii="宋体" w:hAnsi="宋体"/>
                <w:b/>
                <w:color w:val="000000"/>
                <w:kern w:val="0"/>
                <w:sz w:val="22"/>
                <w:szCs w:val="22"/>
              </w:rPr>
              <w:t>省部级项目</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分布式光伏电站远程诊断与修复关键技术研究</w:t>
            </w:r>
          </w:p>
        </w:tc>
        <w:tc>
          <w:tcPr>
            <w:tcW w:w="637" w:type="pct"/>
            <w:shd w:val="clear" w:color="auto" w:fill="auto"/>
            <w:vAlign w:val="center"/>
          </w:tcPr>
          <w:p w:rsidR="0050434C" w:rsidRPr="0050434C" w:rsidRDefault="0050434C" w:rsidP="00CC40E3">
            <w:pPr>
              <w:adjustRightInd w:val="0"/>
              <w:snapToGrid w:val="0"/>
              <w:spacing w:line="245" w:lineRule="auto"/>
              <w:ind w:leftChars="-50" w:left="-105" w:rightChars="-50" w:right="-105"/>
              <w:jc w:val="center"/>
              <w:rPr>
                <w:rFonts w:ascii="宋体" w:hAnsi="宋体"/>
                <w:color w:val="000000"/>
                <w:sz w:val="22"/>
                <w:szCs w:val="22"/>
              </w:rPr>
            </w:pPr>
            <w:r w:rsidRPr="0050434C">
              <w:rPr>
                <w:rFonts w:ascii="宋体" w:hAnsi="宋体" w:hint="eastAsia"/>
                <w:color w:val="000000"/>
                <w:sz w:val="22"/>
                <w:szCs w:val="22"/>
              </w:rPr>
              <w:t>D200-2B-1601</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袁  晓</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上海市科委</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2016-07-01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2018-06-30</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400.0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2</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上海市先进聚合物材料重点实验室运行费</w:t>
            </w:r>
          </w:p>
        </w:tc>
        <w:tc>
          <w:tcPr>
            <w:tcW w:w="637" w:type="pct"/>
            <w:shd w:val="clear" w:color="auto" w:fill="auto"/>
            <w:vAlign w:val="center"/>
          </w:tcPr>
          <w:p w:rsidR="0050434C" w:rsidRPr="0050434C" w:rsidRDefault="0050434C" w:rsidP="00CC40E3">
            <w:pPr>
              <w:adjustRightInd w:val="0"/>
              <w:snapToGrid w:val="0"/>
              <w:spacing w:line="245" w:lineRule="auto"/>
              <w:ind w:leftChars="-50" w:left="-105" w:rightChars="-50" w:right="-105"/>
              <w:jc w:val="center"/>
              <w:rPr>
                <w:rFonts w:ascii="宋体" w:hAnsi="宋体"/>
                <w:color w:val="000000"/>
                <w:sz w:val="22"/>
                <w:szCs w:val="22"/>
              </w:rPr>
            </w:pPr>
            <w:r w:rsidRPr="0050434C">
              <w:rPr>
                <w:rFonts w:ascii="宋体" w:hAnsi="宋体" w:hint="eastAsia"/>
                <w:color w:val="000000"/>
                <w:sz w:val="22"/>
                <w:szCs w:val="22"/>
              </w:rPr>
              <w:t>D200-F-1601</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林嘉平</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上海市重点实验室专项经费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2018-12-31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150.0</w:t>
            </w:r>
          </w:p>
        </w:tc>
      </w:tr>
      <w:tr w:rsidR="0050434C" w:rsidRPr="0050434C" w:rsidTr="0050434C">
        <w:trPr>
          <w:trHeight w:hRule="exact" w:val="1187"/>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3</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用于癌症多模式成像和基因/光热治疗的新型大（介）孔氧化硅纳米体系构建</w:t>
            </w:r>
          </w:p>
        </w:tc>
        <w:tc>
          <w:tcPr>
            <w:tcW w:w="637" w:type="pct"/>
            <w:shd w:val="clear" w:color="auto" w:fill="auto"/>
            <w:vAlign w:val="center"/>
          </w:tcPr>
          <w:p w:rsidR="0050434C" w:rsidRPr="0050434C" w:rsidRDefault="0050434C" w:rsidP="00CC40E3">
            <w:pPr>
              <w:adjustRightInd w:val="0"/>
              <w:snapToGrid w:val="0"/>
              <w:spacing w:line="245" w:lineRule="auto"/>
              <w:ind w:leftChars="-50" w:left="-105" w:rightChars="-50" w:right="-105"/>
              <w:jc w:val="center"/>
              <w:rPr>
                <w:rFonts w:ascii="宋体" w:hAnsi="宋体"/>
                <w:color w:val="000000"/>
                <w:sz w:val="22"/>
                <w:szCs w:val="22"/>
              </w:rPr>
            </w:pPr>
            <w:r w:rsidRPr="0050434C">
              <w:rPr>
                <w:rFonts w:ascii="宋体" w:hAnsi="宋体" w:hint="eastAsia"/>
                <w:color w:val="000000"/>
                <w:sz w:val="22"/>
                <w:szCs w:val="22"/>
              </w:rPr>
              <w:t>D200-2A-160</w:t>
            </w:r>
          </w:p>
          <w:p w:rsidR="0050434C" w:rsidRPr="0050434C" w:rsidRDefault="0050434C" w:rsidP="00CC40E3">
            <w:pPr>
              <w:adjustRightInd w:val="0"/>
              <w:snapToGrid w:val="0"/>
              <w:spacing w:line="245" w:lineRule="auto"/>
              <w:ind w:leftChars="-50" w:left="-105" w:rightChars="-50" w:right="-105"/>
              <w:jc w:val="center"/>
              <w:rPr>
                <w:rFonts w:ascii="宋体" w:hAnsi="宋体"/>
                <w:color w:val="000000"/>
                <w:sz w:val="22"/>
                <w:szCs w:val="22"/>
              </w:rPr>
            </w:pPr>
            <w:r w:rsidRPr="0050434C">
              <w:rPr>
                <w:rFonts w:ascii="宋体" w:hAnsi="宋体" w:hint="eastAsia"/>
                <w:color w:val="000000"/>
                <w:sz w:val="22"/>
                <w:szCs w:val="22"/>
              </w:rPr>
              <w:t>03</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牛德超</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上海市科委</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2016-04-01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2019-03-31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40.0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color w:val="000000" w:themeColor="text1"/>
                <w:kern w:val="0"/>
                <w:sz w:val="22"/>
                <w:szCs w:val="22"/>
              </w:rPr>
            </w:pPr>
            <w:r w:rsidRPr="0050434C">
              <w:rPr>
                <w:rFonts w:ascii="宋体" w:hAnsi="宋体" w:hint="eastAsia"/>
                <w:color w:val="000000" w:themeColor="text1"/>
                <w:kern w:val="0"/>
                <w:sz w:val="22"/>
                <w:szCs w:val="22"/>
              </w:rPr>
              <w:t>4</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themeColor="text1"/>
                <w:sz w:val="22"/>
                <w:szCs w:val="22"/>
              </w:rPr>
            </w:pPr>
            <w:r w:rsidRPr="0050434C">
              <w:rPr>
                <w:rFonts w:ascii="宋体" w:hAnsi="宋体" w:cs="宋体" w:hint="eastAsia"/>
                <w:color w:val="000000" w:themeColor="text1"/>
                <w:sz w:val="22"/>
                <w:szCs w:val="22"/>
              </w:rPr>
              <w:t>耐高温薄膜电容器用低维碳纳米介电复合材料结构设计及性能研究</w:t>
            </w:r>
          </w:p>
        </w:tc>
        <w:tc>
          <w:tcPr>
            <w:tcW w:w="637" w:type="pct"/>
            <w:shd w:val="clear" w:color="auto" w:fill="auto"/>
            <w:vAlign w:val="center"/>
          </w:tcPr>
          <w:p w:rsidR="0050434C" w:rsidRPr="0050434C" w:rsidRDefault="0050434C" w:rsidP="00CC40E3">
            <w:pPr>
              <w:adjustRightInd w:val="0"/>
              <w:snapToGrid w:val="0"/>
              <w:spacing w:line="245" w:lineRule="auto"/>
              <w:ind w:leftChars="-50" w:left="-105" w:rightChars="-50" w:right="-105"/>
              <w:jc w:val="center"/>
              <w:rPr>
                <w:rFonts w:ascii="宋体" w:hAnsi="宋体"/>
                <w:color w:val="000000" w:themeColor="text1"/>
                <w:sz w:val="22"/>
                <w:szCs w:val="22"/>
              </w:rPr>
            </w:pPr>
            <w:r w:rsidRPr="0050434C">
              <w:rPr>
                <w:rFonts w:ascii="宋体" w:hAnsi="宋体" w:hint="eastAsia"/>
                <w:color w:val="000000" w:themeColor="text1"/>
                <w:sz w:val="22"/>
                <w:szCs w:val="22"/>
              </w:rPr>
              <w:t>D200-2A-160</w:t>
            </w:r>
          </w:p>
          <w:p w:rsidR="0050434C" w:rsidRPr="0050434C" w:rsidRDefault="0050434C" w:rsidP="00CC40E3">
            <w:pPr>
              <w:adjustRightInd w:val="0"/>
              <w:snapToGrid w:val="0"/>
              <w:spacing w:line="245" w:lineRule="auto"/>
              <w:ind w:leftChars="-50" w:left="-105" w:rightChars="-50" w:right="-105"/>
              <w:jc w:val="center"/>
              <w:rPr>
                <w:rFonts w:ascii="宋体" w:hAnsi="宋体"/>
                <w:color w:val="000000" w:themeColor="text1"/>
                <w:sz w:val="22"/>
                <w:szCs w:val="22"/>
              </w:rPr>
            </w:pPr>
            <w:r w:rsidRPr="0050434C">
              <w:rPr>
                <w:rFonts w:ascii="宋体" w:hAnsi="宋体" w:hint="eastAsia"/>
                <w:color w:val="000000" w:themeColor="text1"/>
                <w:sz w:val="22"/>
                <w:szCs w:val="22"/>
              </w:rPr>
              <w:t>53</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themeColor="text1"/>
                <w:sz w:val="22"/>
                <w:szCs w:val="22"/>
              </w:rPr>
            </w:pPr>
            <w:r w:rsidRPr="0050434C">
              <w:rPr>
                <w:rFonts w:ascii="宋体" w:hAnsi="宋体" w:cs="宋体" w:hint="eastAsia"/>
                <w:color w:val="000000" w:themeColor="text1"/>
                <w:sz w:val="22"/>
                <w:szCs w:val="22"/>
              </w:rPr>
              <w:t>庄启昕</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themeColor="text1"/>
                <w:sz w:val="22"/>
                <w:szCs w:val="22"/>
              </w:rPr>
            </w:pPr>
            <w:r w:rsidRPr="0050434C">
              <w:rPr>
                <w:rFonts w:ascii="宋体" w:hAnsi="宋体" w:cs="宋体" w:hint="eastAsia"/>
                <w:color w:val="000000" w:themeColor="text1"/>
                <w:sz w:val="22"/>
                <w:szCs w:val="22"/>
              </w:rPr>
              <w:t>上海市科委</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30.0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5</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基于材料基因组的有机/无机杂化大分子的自装结构与性能研究</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D200-2A-16052</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林嘉平</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上海市科委</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30.0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6</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功能纳米材料介尺度结构的形式机制与性能调控</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D200-2P-16039</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李春忠</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上海市科委</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2019-12-31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30.0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7</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现场急救用快速止血样品及颗粒剂型的研制</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D200-2B-1605-1</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袁  媛</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上海市科委</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2016-07-01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2019-06-30</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10.0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8</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现场急救用快速止血样品及颗粒剂型的研制</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D200-2B-1605-2</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洪  华</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上海市科委</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2016-07-01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2019-06-30</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10.0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9</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新能源材料化工</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D200-2P-16038</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江  浩</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上海市科委</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2019-12-31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13.0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lastRenderedPageBreak/>
              <w:t>10</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基于3D打印技术构建适于快速骨修复的双固化型聚酯基生物活性支架</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D200-2R-16057</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陈芳萍</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上海市人事局项目</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20.0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11</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超细材料制备与应用教育部重点实验室运行费</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WD1617002</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刘昌胜</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教育部基本科研</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业务费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75.0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12</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特种功能高分子材料及相关技术教育部重点实验室运行费</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WD1617001</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黄发荣</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教育部基本科研</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业务费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2017-12-31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50.0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13</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创新群体运行费</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WD1616005</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刘昌胜</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教育部基本科研</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业务费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2016-06-16</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2017-06-16</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40.0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14</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光化学能转换功能材料</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研究</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WD1616003</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杨化桂</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教育部基本科研</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业务费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2016-06-16</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2017-06-16</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40.0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15</w:t>
            </w:r>
          </w:p>
        </w:tc>
        <w:tc>
          <w:tcPr>
            <w:tcW w:w="1277" w:type="pct"/>
            <w:shd w:val="clear" w:color="auto" w:fill="auto"/>
            <w:vAlign w:val="center"/>
          </w:tcPr>
          <w:p w:rsidR="0050434C" w:rsidRPr="0050434C" w:rsidRDefault="0050434C" w:rsidP="00CC40E3">
            <w:pPr>
              <w:adjustRightInd w:val="0"/>
              <w:snapToGrid w:val="0"/>
              <w:spacing w:line="245" w:lineRule="auto"/>
              <w:ind w:leftChars="-50" w:left="-105" w:rightChars="-50" w:right="-105"/>
              <w:jc w:val="center"/>
              <w:rPr>
                <w:rFonts w:ascii="宋体" w:hAnsi="宋体" w:cs="宋体"/>
                <w:color w:val="000000"/>
                <w:sz w:val="22"/>
                <w:szCs w:val="22"/>
              </w:rPr>
            </w:pPr>
            <w:r w:rsidRPr="0050434C">
              <w:rPr>
                <w:rFonts w:ascii="宋体" w:hAnsi="宋体" w:cs="宋体" w:hint="eastAsia"/>
                <w:color w:val="000000"/>
                <w:sz w:val="22"/>
                <w:szCs w:val="22"/>
              </w:rPr>
              <w:t>环芳香化聚合反应</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WD1616001</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胡爱国</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教育部基本科研</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业务费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2016-06-16</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2017-06-16</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40.0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16</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国家医用生物材料</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动员中心运行费</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WD1617014</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刘昌胜</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教育部基本科研</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业务费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15.0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17</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上海市先进聚合物材料重点实验室运行费</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WD1617020</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林嘉平</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教育部基本科研</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业务费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15.0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18</w:t>
            </w:r>
          </w:p>
        </w:tc>
        <w:tc>
          <w:tcPr>
            <w:tcW w:w="1277"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医用生物材料教育部工程研究中心运行费</w:t>
            </w:r>
          </w:p>
        </w:tc>
        <w:tc>
          <w:tcPr>
            <w:tcW w:w="637" w:type="pct"/>
            <w:shd w:val="clear" w:color="auto" w:fill="auto"/>
            <w:vAlign w:val="center"/>
          </w:tcPr>
          <w:p w:rsidR="0050434C" w:rsidRPr="0050434C" w:rsidRDefault="0050434C" w:rsidP="00CC40E3">
            <w:pPr>
              <w:adjustRightInd w:val="0"/>
              <w:snapToGrid w:val="0"/>
              <w:spacing w:line="245" w:lineRule="auto"/>
              <w:jc w:val="center"/>
              <w:rPr>
                <w:rFonts w:ascii="宋体" w:hAnsi="宋体"/>
                <w:color w:val="000000"/>
                <w:sz w:val="22"/>
                <w:szCs w:val="22"/>
              </w:rPr>
            </w:pPr>
            <w:r w:rsidRPr="0050434C">
              <w:rPr>
                <w:rFonts w:ascii="宋体" w:hAnsi="宋体" w:hint="eastAsia"/>
                <w:color w:val="000000"/>
                <w:sz w:val="22"/>
                <w:szCs w:val="22"/>
              </w:rPr>
              <w:t>WD1617025</w:t>
            </w:r>
          </w:p>
        </w:tc>
        <w:tc>
          <w:tcPr>
            <w:tcW w:w="445"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刘昌胜</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教育部基本科研</w:t>
            </w:r>
          </w:p>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业务费</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widowControl/>
              <w:jc w:val="center"/>
              <w:rPr>
                <w:rFonts w:ascii="宋体" w:hAnsi="宋体"/>
                <w:color w:val="000000"/>
                <w:sz w:val="22"/>
                <w:szCs w:val="22"/>
              </w:rPr>
            </w:pPr>
            <w:r w:rsidRPr="0050434C">
              <w:rPr>
                <w:rFonts w:ascii="宋体" w:hAnsi="宋体" w:hint="eastAsia"/>
                <w:color w:val="000000"/>
                <w:sz w:val="22"/>
                <w:szCs w:val="22"/>
              </w:rPr>
              <w:t>15.0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19</w:t>
            </w:r>
          </w:p>
        </w:tc>
        <w:tc>
          <w:tcPr>
            <w:tcW w:w="1277" w:type="pct"/>
            <w:shd w:val="clear" w:color="auto" w:fill="auto"/>
            <w:vAlign w:val="center"/>
          </w:tcPr>
          <w:p w:rsidR="0050434C" w:rsidRPr="0050434C" w:rsidRDefault="0050434C" w:rsidP="00CC40E3">
            <w:pPr>
              <w:widowControl/>
              <w:jc w:val="center"/>
              <w:rPr>
                <w:rFonts w:ascii="宋体" w:hAnsi="宋体" w:cs="宋体"/>
                <w:color w:val="000000"/>
                <w:sz w:val="22"/>
                <w:szCs w:val="22"/>
              </w:rPr>
            </w:pPr>
            <w:r w:rsidRPr="0050434C">
              <w:rPr>
                <w:rFonts w:ascii="宋体" w:hAnsi="宋体" w:cs="宋体"/>
                <w:color w:val="000000"/>
                <w:sz w:val="22"/>
                <w:szCs w:val="22"/>
              </w:rPr>
              <w:t>碘基Z型光解水体系中助催化剂的可控设计与组装</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s="宋体"/>
                <w:color w:val="000000"/>
                <w:sz w:val="22"/>
                <w:szCs w:val="22"/>
              </w:rPr>
              <w:t>D200-5R-1629</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s="宋体"/>
                <w:color w:val="000000"/>
                <w:sz w:val="22"/>
                <w:szCs w:val="22"/>
              </w:rPr>
              <w:t>李宇航</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上海市人事局项目</w:t>
            </w:r>
          </w:p>
        </w:tc>
        <w:tc>
          <w:tcPr>
            <w:tcW w:w="447" w:type="pct"/>
            <w:shd w:val="clear" w:color="auto" w:fill="auto"/>
            <w:vAlign w:val="center"/>
          </w:tcPr>
          <w:p w:rsidR="0050434C" w:rsidRPr="0050434C" w:rsidRDefault="0050434C" w:rsidP="00CC40E3">
            <w:pPr>
              <w:widowControl/>
              <w:jc w:val="center"/>
              <w:rPr>
                <w:rFonts w:ascii="宋体" w:hAnsi="宋体" w:cs="宋体"/>
                <w:color w:val="000000"/>
                <w:sz w:val="22"/>
                <w:szCs w:val="22"/>
              </w:rPr>
            </w:pPr>
            <w:r w:rsidRPr="0050434C">
              <w:rPr>
                <w:rFonts w:ascii="宋体" w:hAnsi="宋体" w:cs="宋体"/>
                <w:color w:val="000000"/>
                <w:sz w:val="22"/>
                <w:szCs w:val="22"/>
              </w:rPr>
              <w:t>2016-12-01</w:t>
            </w:r>
          </w:p>
        </w:tc>
        <w:tc>
          <w:tcPr>
            <w:tcW w:w="447" w:type="pct"/>
            <w:shd w:val="clear" w:color="auto" w:fill="auto"/>
            <w:vAlign w:val="center"/>
          </w:tcPr>
          <w:p w:rsidR="0050434C" w:rsidRPr="0050434C" w:rsidRDefault="0050434C" w:rsidP="00CC40E3">
            <w:pPr>
              <w:widowControl/>
              <w:jc w:val="center"/>
              <w:rPr>
                <w:rFonts w:ascii="宋体" w:hAnsi="宋体" w:cs="宋体"/>
                <w:color w:val="000000"/>
                <w:sz w:val="22"/>
                <w:szCs w:val="22"/>
              </w:rPr>
            </w:pPr>
            <w:r w:rsidRPr="0050434C">
              <w:rPr>
                <w:rFonts w:ascii="宋体" w:hAnsi="宋体" w:cs="宋体"/>
                <w:color w:val="000000"/>
                <w:sz w:val="22"/>
                <w:szCs w:val="22"/>
              </w:rPr>
              <w:t>2018-07-30</w:t>
            </w:r>
          </w:p>
        </w:tc>
        <w:tc>
          <w:tcPr>
            <w:tcW w:w="470" w:type="pct"/>
            <w:shd w:val="clear" w:color="auto" w:fill="auto"/>
            <w:vAlign w:val="center"/>
          </w:tcPr>
          <w:p w:rsidR="0050434C" w:rsidRPr="0050434C" w:rsidRDefault="0050434C" w:rsidP="00CC40E3">
            <w:pPr>
              <w:widowControl/>
              <w:jc w:val="center"/>
              <w:rPr>
                <w:rFonts w:ascii="宋体" w:hAnsi="宋体" w:cs="宋体"/>
                <w:color w:val="000000"/>
                <w:sz w:val="22"/>
                <w:szCs w:val="22"/>
              </w:rPr>
            </w:pPr>
            <w:r w:rsidRPr="0050434C">
              <w:rPr>
                <w:rFonts w:ascii="宋体" w:hAnsi="宋体" w:cs="宋体"/>
                <w:color w:val="000000"/>
                <w:sz w:val="22"/>
                <w:szCs w:val="22"/>
              </w:rPr>
              <w:t>20.0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jc w:val="center"/>
              <w:rPr>
                <w:rFonts w:ascii="宋体" w:hAnsi="宋体"/>
                <w:kern w:val="0"/>
                <w:sz w:val="22"/>
                <w:szCs w:val="22"/>
              </w:rPr>
            </w:pPr>
            <w:r w:rsidRPr="0050434C">
              <w:rPr>
                <w:rFonts w:ascii="宋体" w:hAnsi="宋体" w:hint="eastAsia"/>
                <w:kern w:val="0"/>
                <w:sz w:val="22"/>
                <w:szCs w:val="22"/>
              </w:rPr>
              <w:t>20</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s="宋体"/>
                <w:color w:val="000000"/>
                <w:sz w:val="22"/>
                <w:szCs w:val="22"/>
              </w:rPr>
              <w:t>高价态金属掺杂镍-铁氢氧化物电解水产氧催化材料</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s="宋体"/>
                <w:color w:val="000000"/>
                <w:sz w:val="22"/>
                <w:szCs w:val="22"/>
              </w:rPr>
              <w:t>D200-5R-1629</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s="宋体"/>
                <w:color w:val="000000"/>
                <w:sz w:val="22"/>
                <w:szCs w:val="22"/>
              </w:rPr>
              <w:t>李宇航</w:t>
            </w:r>
          </w:p>
        </w:tc>
        <w:tc>
          <w:tcPr>
            <w:tcW w:w="1026" w:type="pct"/>
            <w:shd w:val="clear" w:color="auto" w:fill="auto"/>
            <w:vAlign w:val="center"/>
          </w:tcPr>
          <w:p w:rsidR="0050434C" w:rsidRPr="0050434C" w:rsidRDefault="0050434C" w:rsidP="00CC40E3">
            <w:pPr>
              <w:adjustRightInd w:val="0"/>
              <w:snapToGrid w:val="0"/>
              <w:spacing w:line="245" w:lineRule="auto"/>
              <w:jc w:val="center"/>
              <w:rPr>
                <w:rFonts w:ascii="宋体" w:hAnsi="宋体" w:cs="宋体"/>
                <w:color w:val="000000"/>
                <w:sz w:val="22"/>
                <w:szCs w:val="22"/>
              </w:rPr>
            </w:pPr>
            <w:r w:rsidRPr="0050434C">
              <w:rPr>
                <w:rFonts w:ascii="宋体" w:hAnsi="宋体" w:cs="宋体" w:hint="eastAsia"/>
                <w:color w:val="000000"/>
                <w:sz w:val="22"/>
                <w:szCs w:val="22"/>
              </w:rPr>
              <w:t>上海市人事局项目</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s="宋体"/>
                <w:color w:val="000000"/>
                <w:sz w:val="22"/>
                <w:szCs w:val="22"/>
              </w:rPr>
              <w:t>2016-11-01</w:t>
            </w:r>
          </w:p>
        </w:tc>
        <w:tc>
          <w:tcPr>
            <w:tcW w:w="44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s="宋体"/>
                <w:color w:val="000000"/>
                <w:sz w:val="22"/>
                <w:szCs w:val="22"/>
              </w:rPr>
              <w:t>2018-07-30</w:t>
            </w:r>
          </w:p>
        </w:tc>
        <w:tc>
          <w:tcPr>
            <w:tcW w:w="470"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cs="宋体"/>
                <w:color w:val="000000"/>
                <w:sz w:val="22"/>
                <w:szCs w:val="22"/>
              </w:rPr>
              <w:t>5.0</w:t>
            </w:r>
          </w:p>
        </w:tc>
      </w:tr>
      <w:tr w:rsidR="0050434C" w:rsidRPr="0050434C" w:rsidTr="0050434C">
        <w:trPr>
          <w:trHeight w:hRule="exact" w:val="826"/>
          <w:jc w:val="center"/>
        </w:trPr>
        <w:tc>
          <w:tcPr>
            <w:tcW w:w="5000" w:type="pct"/>
            <w:gridSpan w:val="8"/>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color w:val="000000"/>
                <w:sz w:val="22"/>
                <w:szCs w:val="22"/>
              </w:rPr>
            </w:pPr>
            <w:r w:rsidRPr="0050434C">
              <w:rPr>
                <w:rFonts w:ascii="宋体" w:hAnsi="宋体"/>
                <w:b/>
                <w:color w:val="000000"/>
                <w:kern w:val="0"/>
                <w:sz w:val="22"/>
                <w:szCs w:val="22"/>
              </w:rPr>
              <w:t>横向项目</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1</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具可塑性的有机/无机复合促进成骨制品的研制</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D80081602</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王  靖</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威高集团有限公司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2017-12-31</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2</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生物医用缝合线相关技术的开发和应用</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D20081614</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郭卫红</w:t>
            </w:r>
          </w:p>
        </w:tc>
        <w:tc>
          <w:tcPr>
            <w:tcW w:w="1026"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上海百玫医疗科技</w:t>
            </w:r>
          </w:p>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2016-06-01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2020-12-31</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150.0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lastRenderedPageBreak/>
              <w:t>3</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华理睿津化工新材料研交中心运行费</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hint="eastAsia"/>
                <w:color w:val="000000"/>
                <w:sz w:val="22"/>
                <w:szCs w:val="22"/>
              </w:rPr>
              <w:t>D200-41616Y</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李春忠</w:t>
            </w:r>
          </w:p>
        </w:tc>
        <w:tc>
          <w:tcPr>
            <w:tcW w:w="1026"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橡瑞新材料科技</w:t>
            </w:r>
          </w:p>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2016-12-31</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50.0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4</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超细氢氧化铝的制备方法</w:t>
            </w:r>
          </w:p>
        </w:tc>
        <w:tc>
          <w:tcPr>
            <w:tcW w:w="637"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hint="eastAsia"/>
                <w:color w:val="000000"/>
                <w:sz w:val="22"/>
                <w:szCs w:val="22"/>
              </w:rPr>
              <w:t>D200Z1607Q</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李春忠</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洛阳中超新材料股份有限公司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2016-08-01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2020-12-31</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5</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一种新的聚三唑酰亚胺树脂及其制备方法</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D200Z1610</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黄发荣</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安徽中科达美新材料科技有限公司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2016-05-31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2029-01-12</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15.0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6</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一种乙炔基封端型三唑酰亚胺低聚物及其制备方法</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D200Z1609</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黄发荣</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安徽中科达美新材料科技有限公司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2016-05-31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2029-08-20</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15.0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7</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一种含三唑环的多元胺及其制备方法与用途</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D200Z1608</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黄发荣</w:t>
            </w:r>
          </w:p>
        </w:tc>
        <w:tc>
          <w:tcPr>
            <w:tcW w:w="1026"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安徽中科达美新材料科技有限公司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2016-05-31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2029-01-12</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15.0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8</w:t>
            </w:r>
          </w:p>
        </w:tc>
        <w:tc>
          <w:tcPr>
            <w:tcW w:w="1277" w:type="pct"/>
            <w:shd w:val="clear" w:color="auto" w:fill="auto"/>
            <w:vAlign w:val="center"/>
          </w:tcPr>
          <w:p w:rsidR="0050434C" w:rsidRPr="0050434C" w:rsidRDefault="0050434C" w:rsidP="00CC40E3">
            <w:pPr>
              <w:ind w:leftChars="-50" w:left="-105" w:rightChars="-50" w:right="-105"/>
              <w:jc w:val="center"/>
              <w:rPr>
                <w:rFonts w:ascii="宋体" w:hAnsi="宋体" w:cs="宋体"/>
                <w:color w:val="000000"/>
                <w:sz w:val="22"/>
                <w:szCs w:val="22"/>
              </w:rPr>
            </w:pPr>
            <w:r w:rsidRPr="0050434C">
              <w:rPr>
                <w:rFonts w:ascii="宋体" w:hAnsi="宋体" w:hint="eastAsia"/>
                <w:color w:val="000000"/>
                <w:sz w:val="22"/>
                <w:szCs w:val="22"/>
              </w:rPr>
              <w:t>一种椎体后凸成形术用可显影可膨胀球囊的制备方法</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D800Z1601</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洪  华</w:t>
            </w:r>
          </w:p>
        </w:tc>
        <w:tc>
          <w:tcPr>
            <w:tcW w:w="1026"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苏州爱得科技发展</w:t>
            </w:r>
          </w:p>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2016-01-01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2020-12-31</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10.0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9</w:t>
            </w:r>
          </w:p>
        </w:tc>
        <w:tc>
          <w:tcPr>
            <w:tcW w:w="127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防粘食品级TPU输送带（二）</w:t>
            </w:r>
          </w:p>
        </w:tc>
        <w:tc>
          <w:tcPr>
            <w:tcW w:w="637"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D20081629</w:t>
            </w:r>
          </w:p>
        </w:tc>
        <w:tc>
          <w:tcPr>
            <w:tcW w:w="445" w:type="pct"/>
            <w:shd w:val="clear" w:color="auto" w:fill="auto"/>
            <w:vAlign w:val="center"/>
          </w:tcPr>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胡爱国</w:t>
            </w:r>
          </w:p>
        </w:tc>
        <w:tc>
          <w:tcPr>
            <w:tcW w:w="1026"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上海永利带业股份</w:t>
            </w:r>
          </w:p>
          <w:p w:rsidR="0050434C" w:rsidRPr="0050434C" w:rsidRDefault="0050434C" w:rsidP="00CC40E3">
            <w:pPr>
              <w:jc w:val="center"/>
              <w:rPr>
                <w:rFonts w:ascii="宋体" w:hAnsi="宋体" w:cs="宋体"/>
                <w:color w:val="000000"/>
                <w:sz w:val="22"/>
                <w:szCs w:val="22"/>
              </w:rPr>
            </w:pPr>
            <w:r w:rsidRPr="0050434C">
              <w:rPr>
                <w:rFonts w:ascii="宋体" w:hAnsi="宋体" w:hint="eastAsia"/>
                <w:color w:val="000000"/>
                <w:sz w:val="22"/>
                <w:szCs w:val="22"/>
              </w:rPr>
              <w:t>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2016-09-14</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2016-12-30</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10</w:t>
            </w:r>
          </w:p>
        </w:tc>
        <w:tc>
          <w:tcPr>
            <w:tcW w:w="1277"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均相介孔氧化铑/氧化铝复合催化材料及制备方法和应用</w:t>
            </w:r>
          </w:p>
        </w:tc>
        <w:tc>
          <w:tcPr>
            <w:tcW w:w="637"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D300Z1601</w:t>
            </w:r>
          </w:p>
        </w:tc>
        <w:tc>
          <w:tcPr>
            <w:tcW w:w="445" w:type="pct"/>
            <w:shd w:val="clear" w:color="auto" w:fill="auto"/>
            <w:vAlign w:val="center"/>
          </w:tcPr>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李  亮</w:t>
            </w:r>
          </w:p>
        </w:tc>
        <w:tc>
          <w:tcPr>
            <w:tcW w:w="1026"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hint="eastAsia"/>
                <w:sz w:val="22"/>
                <w:szCs w:val="22"/>
              </w:rPr>
              <w:t>盛密科技（上海）</w:t>
            </w:r>
          </w:p>
          <w:p w:rsidR="0050434C" w:rsidRPr="0050434C" w:rsidRDefault="0050434C" w:rsidP="00CC40E3">
            <w:pPr>
              <w:jc w:val="center"/>
              <w:rPr>
                <w:rFonts w:ascii="宋体" w:hAnsi="宋体" w:cs="宋体"/>
                <w:sz w:val="22"/>
                <w:szCs w:val="22"/>
              </w:rPr>
            </w:pPr>
            <w:r w:rsidRPr="0050434C">
              <w:rPr>
                <w:rFonts w:ascii="宋体" w:hAnsi="宋体" w:hint="eastAsia"/>
                <w:sz w:val="22"/>
                <w:szCs w:val="22"/>
              </w:rPr>
              <w:t>有限公司</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2016-01-11</w:t>
            </w:r>
          </w:p>
        </w:tc>
        <w:tc>
          <w:tcPr>
            <w:tcW w:w="447"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2020-12-31</w:t>
            </w:r>
          </w:p>
        </w:tc>
        <w:tc>
          <w:tcPr>
            <w:tcW w:w="470" w:type="pct"/>
            <w:shd w:val="clear" w:color="auto" w:fill="auto"/>
            <w:vAlign w:val="center"/>
          </w:tcPr>
          <w:p w:rsidR="0050434C" w:rsidRPr="0050434C" w:rsidRDefault="0050434C" w:rsidP="00CC40E3">
            <w:pPr>
              <w:jc w:val="center"/>
              <w:rPr>
                <w:rFonts w:ascii="宋体" w:hAnsi="宋体"/>
                <w:color w:val="000000"/>
                <w:sz w:val="22"/>
                <w:szCs w:val="22"/>
              </w:rPr>
            </w:pPr>
            <w:r w:rsidRPr="0050434C">
              <w:rPr>
                <w:rFonts w:ascii="宋体" w:hAnsi="宋体" w:hint="eastAsia"/>
                <w:color w:val="000000"/>
                <w:sz w:val="22"/>
                <w:szCs w:val="22"/>
              </w:rPr>
              <w:t>1.0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11</w:t>
            </w:r>
          </w:p>
        </w:tc>
        <w:tc>
          <w:tcPr>
            <w:tcW w:w="1277" w:type="pct"/>
            <w:shd w:val="clear" w:color="auto" w:fill="auto"/>
            <w:vAlign w:val="center"/>
          </w:tcPr>
          <w:p w:rsidR="0050434C" w:rsidRPr="0050434C" w:rsidRDefault="0050434C" w:rsidP="00CC40E3">
            <w:pPr>
              <w:widowControl/>
              <w:jc w:val="center"/>
              <w:rPr>
                <w:rFonts w:ascii="宋体" w:hAnsi="宋体"/>
                <w:sz w:val="22"/>
                <w:szCs w:val="22"/>
              </w:rPr>
            </w:pPr>
            <w:r w:rsidRPr="0050434C">
              <w:rPr>
                <w:rFonts w:ascii="宋体" w:hAnsi="宋体"/>
                <w:sz w:val="22"/>
                <w:szCs w:val="22"/>
              </w:rPr>
              <w:t>覆膜铁的结构与性能</w:t>
            </w:r>
          </w:p>
        </w:tc>
        <w:tc>
          <w:tcPr>
            <w:tcW w:w="637"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D30041611</w:t>
            </w:r>
          </w:p>
        </w:tc>
        <w:tc>
          <w:tcPr>
            <w:tcW w:w="445"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程起林</w:t>
            </w:r>
          </w:p>
        </w:tc>
        <w:tc>
          <w:tcPr>
            <w:tcW w:w="1026" w:type="pct"/>
            <w:shd w:val="clear" w:color="auto" w:fill="auto"/>
            <w:vAlign w:val="center"/>
          </w:tcPr>
          <w:p w:rsidR="0050434C" w:rsidRPr="0050434C" w:rsidRDefault="0050434C" w:rsidP="00CC40E3">
            <w:pPr>
              <w:widowControl/>
              <w:jc w:val="center"/>
              <w:rPr>
                <w:rFonts w:ascii="宋体" w:hAnsi="宋体"/>
                <w:sz w:val="22"/>
                <w:szCs w:val="22"/>
              </w:rPr>
            </w:pPr>
            <w:r w:rsidRPr="0050434C">
              <w:rPr>
                <w:rFonts w:ascii="宋体" w:hAnsi="宋体"/>
                <w:sz w:val="22"/>
                <w:szCs w:val="22"/>
              </w:rPr>
              <w:t>上海联净环保科技有限公司</w:t>
            </w:r>
          </w:p>
        </w:tc>
        <w:tc>
          <w:tcPr>
            <w:tcW w:w="447" w:type="pct"/>
            <w:shd w:val="clear" w:color="auto" w:fill="auto"/>
            <w:vAlign w:val="center"/>
          </w:tcPr>
          <w:p w:rsidR="0050434C" w:rsidRPr="0050434C" w:rsidRDefault="0050434C" w:rsidP="00CC40E3">
            <w:pPr>
              <w:widowControl/>
              <w:jc w:val="center"/>
              <w:rPr>
                <w:rFonts w:ascii="宋体" w:hAnsi="宋体"/>
                <w:sz w:val="22"/>
                <w:szCs w:val="22"/>
              </w:rPr>
            </w:pPr>
            <w:r w:rsidRPr="0050434C">
              <w:rPr>
                <w:rFonts w:ascii="宋体" w:hAnsi="宋体"/>
                <w:sz w:val="22"/>
                <w:szCs w:val="22"/>
              </w:rPr>
              <w:t>2016-12-01</w:t>
            </w:r>
          </w:p>
        </w:tc>
        <w:tc>
          <w:tcPr>
            <w:tcW w:w="447"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2017-06-30</w:t>
            </w:r>
          </w:p>
        </w:tc>
        <w:tc>
          <w:tcPr>
            <w:tcW w:w="470" w:type="pct"/>
            <w:shd w:val="clear" w:color="auto" w:fill="auto"/>
            <w:vAlign w:val="center"/>
          </w:tcPr>
          <w:p w:rsidR="0050434C" w:rsidRPr="0050434C" w:rsidRDefault="0050434C" w:rsidP="00CC40E3">
            <w:pPr>
              <w:widowControl/>
              <w:jc w:val="center"/>
              <w:rPr>
                <w:rFonts w:ascii="宋体" w:hAnsi="宋体"/>
                <w:sz w:val="22"/>
                <w:szCs w:val="22"/>
              </w:rPr>
            </w:pPr>
            <w:r w:rsidRPr="0050434C">
              <w:rPr>
                <w:rFonts w:ascii="宋体" w:hAnsi="宋体"/>
                <w:sz w:val="22"/>
                <w:szCs w:val="22"/>
              </w:rPr>
              <w:t>5.0</w:t>
            </w:r>
          </w:p>
        </w:tc>
      </w:tr>
      <w:tr w:rsidR="0050434C" w:rsidRPr="0050434C" w:rsidTr="0050434C">
        <w:trPr>
          <w:trHeight w:hRule="exact" w:val="964"/>
          <w:jc w:val="center"/>
        </w:trPr>
        <w:tc>
          <w:tcPr>
            <w:tcW w:w="251" w:type="pct"/>
            <w:shd w:val="clear" w:color="auto" w:fill="auto"/>
            <w:vAlign w:val="center"/>
          </w:tcPr>
          <w:p w:rsidR="0050434C" w:rsidRPr="0050434C" w:rsidRDefault="0050434C" w:rsidP="00CC40E3">
            <w:pPr>
              <w:widowControl/>
              <w:adjustRightInd w:val="0"/>
              <w:snapToGrid w:val="0"/>
              <w:spacing w:line="245" w:lineRule="auto"/>
              <w:jc w:val="center"/>
              <w:rPr>
                <w:rFonts w:ascii="宋体" w:hAnsi="宋体"/>
                <w:kern w:val="0"/>
                <w:sz w:val="22"/>
                <w:szCs w:val="22"/>
              </w:rPr>
            </w:pPr>
            <w:r w:rsidRPr="0050434C">
              <w:rPr>
                <w:rFonts w:ascii="宋体" w:hAnsi="宋体" w:hint="eastAsia"/>
                <w:kern w:val="0"/>
                <w:sz w:val="22"/>
                <w:szCs w:val="22"/>
              </w:rPr>
              <w:t>12</w:t>
            </w:r>
          </w:p>
        </w:tc>
        <w:tc>
          <w:tcPr>
            <w:tcW w:w="1277"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双亲性石墨烯材料的研发及其生物安全性能</w:t>
            </w:r>
          </w:p>
        </w:tc>
        <w:tc>
          <w:tcPr>
            <w:tcW w:w="637"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D30081612</w:t>
            </w:r>
          </w:p>
        </w:tc>
        <w:tc>
          <w:tcPr>
            <w:tcW w:w="445"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程起林</w:t>
            </w:r>
          </w:p>
        </w:tc>
        <w:tc>
          <w:tcPr>
            <w:tcW w:w="1026"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上海脉通生物医学科技有限公司</w:t>
            </w:r>
          </w:p>
        </w:tc>
        <w:tc>
          <w:tcPr>
            <w:tcW w:w="447"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2016-12-01</w:t>
            </w:r>
          </w:p>
        </w:tc>
        <w:tc>
          <w:tcPr>
            <w:tcW w:w="447"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2018-11-30</w:t>
            </w:r>
          </w:p>
        </w:tc>
        <w:tc>
          <w:tcPr>
            <w:tcW w:w="470" w:type="pct"/>
            <w:shd w:val="clear" w:color="auto" w:fill="auto"/>
            <w:vAlign w:val="center"/>
          </w:tcPr>
          <w:p w:rsidR="0050434C" w:rsidRPr="0050434C" w:rsidRDefault="0050434C" w:rsidP="00CC40E3">
            <w:pPr>
              <w:jc w:val="center"/>
              <w:rPr>
                <w:rFonts w:ascii="宋体" w:hAnsi="宋体"/>
                <w:sz w:val="22"/>
                <w:szCs w:val="22"/>
              </w:rPr>
            </w:pPr>
            <w:r w:rsidRPr="0050434C">
              <w:rPr>
                <w:rFonts w:ascii="宋体" w:hAnsi="宋体"/>
                <w:sz w:val="22"/>
                <w:szCs w:val="22"/>
              </w:rPr>
              <w:t>20.0</w:t>
            </w:r>
          </w:p>
        </w:tc>
        <w:bookmarkStart w:id="1" w:name="_GoBack"/>
        <w:bookmarkEnd w:id="1"/>
      </w:tr>
      <w:bookmarkEnd w:id="0"/>
    </w:tbl>
    <w:p w:rsidR="007904A3" w:rsidRPr="0050434C" w:rsidRDefault="007904A3">
      <w:pPr>
        <w:rPr>
          <w:rFonts w:ascii="宋体" w:hAnsi="宋体"/>
          <w:sz w:val="22"/>
          <w:szCs w:val="22"/>
        </w:rPr>
      </w:pPr>
    </w:p>
    <w:sectPr w:rsidR="007904A3" w:rsidRPr="00504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D9" w:rsidRDefault="005775D9" w:rsidP="0008247A">
      <w:r>
        <w:separator/>
      </w:r>
    </w:p>
  </w:endnote>
  <w:endnote w:type="continuationSeparator" w:id="0">
    <w:p w:rsidR="005775D9" w:rsidRDefault="005775D9" w:rsidP="0008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D9" w:rsidRDefault="005775D9" w:rsidP="0008247A">
      <w:r>
        <w:separator/>
      </w:r>
    </w:p>
  </w:footnote>
  <w:footnote w:type="continuationSeparator" w:id="0">
    <w:p w:rsidR="005775D9" w:rsidRDefault="005775D9" w:rsidP="00082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F4"/>
    <w:rsid w:val="0008247A"/>
    <w:rsid w:val="000919D2"/>
    <w:rsid w:val="001368B9"/>
    <w:rsid w:val="00396CF4"/>
    <w:rsid w:val="0050434C"/>
    <w:rsid w:val="005775D9"/>
    <w:rsid w:val="007904A3"/>
    <w:rsid w:val="00DE4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3DBE3"/>
  <w15:chartTrackingRefBased/>
  <w15:docId w15:val="{8B8084B8-7891-4795-A3D8-1AE1FDF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8247A"/>
    <w:rPr>
      <w:sz w:val="18"/>
      <w:szCs w:val="18"/>
    </w:rPr>
  </w:style>
  <w:style w:type="paragraph" w:styleId="a5">
    <w:name w:val="footer"/>
    <w:basedOn w:val="a"/>
    <w:link w:val="a6"/>
    <w:uiPriority w:val="99"/>
    <w:unhideWhenUsed/>
    <w:rsid w:val="00082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824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728B4-56BD-4912-8CD3-E1FE0072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563</Words>
  <Characters>3210</Characters>
  <Application>Microsoft Office Word</Application>
  <DocSecurity>0</DocSecurity>
  <Lines>26</Lines>
  <Paragraphs>7</Paragraphs>
  <ScaleCrop>false</ScaleCrop>
  <Company>Microsoft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4</cp:revision>
  <dcterms:created xsi:type="dcterms:W3CDTF">2017-08-25T05:26:00Z</dcterms:created>
  <dcterms:modified xsi:type="dcterms:W3CDTF">2017-08-27T14:16:00Z</dcterms:modified>
</cp:coreProperties>
</file>